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2">
      <w:pPr>
        <w:spacing w:after="0" w:line="240" w:lineRule="auto"/>
        <w:jc w:val="cente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Outline Job Description</w:t>
      </w:r>
      <w:r w:rsidDel="00000000" w:rsidR="00000000" w:rsidRPr="00000000">
        <w:rPr>
          <w:rtl w:val="0"/>
        </w:rPr>
      </w:r>
    </w:p>
    <w:p w:rsidR="00000000" w:rsidDel="00000000" w:rsidP="00000000" w:rsidRDefault="00000000" w:rsidRPr="00000000" w14:paraId="00000003">
      <w:pPr>
        <w:spacing w:after="0" w:line="240" w:lineRule="auto"/>
        <w:rPr>
          <w:rFonts w:ascii="Arial" w:cs="Arial" w:eastAsia="Arial" w:hAnsi="Arial"/>
          <w:sz w:val="24"/>
          <w:szCs w:val="24"/>
        </w:rPr>
      </w:pPr>
      <w:r w:rsidDel="00000000" w:rsidR="00000000" w:rsidRPr="00000000">
        <w:rPr>
          <w:rtl w:val="0"/>
        </w:rPr>
      </w:r>
    </w:p>
    <w:tbl>
      <w:tblPr>
        <w:tblStyle w:val="Table1"/>
        <w:tblW w:w="9000.0" w:type="dxa"/>
        <w:jc w:val="left"/>
        <w:tblLayout w:type="fixed"/>
        <w:tblLook w:val="0400"/>
      </w:tblPr>
      <w:tblGrid>
        <w:gridCol w:w="2160"/>
        <w:gridCol w:w="6840"/>
        <w:tblGridChange w:id="0">
          <w:tblGrid>
            <w:gridCol w:w="2160"/>
            <w:gridCol w:w="6840"/>
          </w:tblGrid>
        </w:tblGridChange>
      </w:tblGrid>
      <w:tr>
        <w:trPr>
          <w:cantSplit w:val="0"/>
          <w:trHeight w:val="510" w:hRule="atLeast"/>
          <w:tblHeader w:val="0"/>
        </w:trPr>
        <w:tc>
          <w:tcPr>
            <w:tcBorders>
              <w:top w:color="1f497d" w:space="0" w:sz="12" w:val="single"/>
              <w:left w:color="1f497d" w:space="0" w:sz="12" w:val="single"/>
              <w:bottom w:color="1f497d" w:space="0" w:sz="12" w:val="single"/>
              <w:right w:color="1f497d" w:space="0" w:sz="12" w:val="single"/>
            </w:tcBorders>
            <w:tcMar>
              <w:top w:w="0.0" w:type="dxa"/>
              <w:left w:w="115.0" w:type="dxa"/>
              <w:bottom w:w="0.0" w:type="dxa"/>
              <w:right w:w="115.0" w:type="dxa"/>
            </w:tcMar>
            <w:vAlign w:val="center"/>
          </w:tcPr>
          <w:p w:rsidR="00000000" w:rsidDel="00000000" w:rsidP="00000000" w:rsidRDefault="00000000" w:rsidRPr="00000000" w14:paraId="00000004">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POST TITLE:</w:t>
            </w:r>
            <w:r w:rsidDel="00000000" w:rsidR="00000000" w:rsidRPr="00000000">
              <w:rPr>
                <w:rtl w:val="0"/>
              </w:rPr>
            </w:r>
          </w:p>
        </w:tc>
        <w:tc>
          <w:tcPr>
            <w:tcBorders>
              <w:top w:color="1f497d" w:space="0" w:sz="12" w:val="single"/>
              <w:left w:color="1f497d" w:space="0" w:sz="12" w:val="single"/>
              <w:bottom w:color="1f497d" w:space="0" w:sz="12" w:val="single"/>
              <w:right w:color="1f497d" w:space="0" w:sz="12" w:val="single"/>
            </w:tcBorders>
            <w:tcMar>
              <w:top w:w="0.0" w:type="dxa"/>
              <w:left w:w="115.0" w:type="dxa"/>
              <w:bottom w:w="0.0" w:type="dxa"/>
              <w:right w:w="115.0" w:type="dxa"/>
            </w:tcMar>
            <w:vAlign w:val="center"/>
          </w:tcPr>
          <w:p w:rsidR="00000000" w:rsidDel="00000000" w:rsidP="00000000" w:rsidRDefault="00000000" w:rsidRPr="00000000" w14:paraId="00000005">
            <w:pPr>
              <w:spacing w:after="0" w:line="240" w:lineRule="auto"/>
              <w:ind w:right="-357"/>
              <w:rPr>
                <w:rFonts w:ascii="Arial" w:cs="Arial" w:eastAsia="Arial" w:hAnsi="Arial"/>
                <w:sz w:val="24"/>
                <w:szCs w:val="24"/>
              </w:rPr>
            </w:pPr>
            <w:r w:rsidDel="00000000" w:rsidR="00000000" w:rsidRPr="00000000">
              <w:rPr>
                <w:rFonts w:ascii="Arial" w:cs="Arial" w:eastAsia="Arial" w:hAnsi="Arial"/>
                <w:sz w:val="24"/>
                <w:szCs w:val="24"/>
                <w:rtl w:val="0"/>
              </w:rPr>
              <w:t xml:space="preserve">Learning Support Assistant for our SEMH Resource Provision</w:t>
            </w:r>
          </w:p>
        </w:tc>
      </w:tr>
      <w:tr>
        <w:trPr>
          <w:cantSplit w:val="0"/>
          <w:trHeight w:val="510" w:hRule="atLeast"/>
          <w:tblHeader w:val="0"/>
        </w:trPr>
        <w:tc>
          <w:tcPr>
            <w:tcBorders>
              <w:top w:color="1f497d" w:space="0" w:sz="12" w:val="single"/>
              <w:left w:color="1f497d" w:space="0" w:sz="12" w:val="single"/>
              <w:bottom w:color="1f497d" w:space="0" w:sz="12" w:val="single"/>
              <w:right w:color="1f497d" w:space="0" w:sz="12" w:val="single"/>
            </w:tcBorders>
            <w:tcMar>
              <w:top w:w="0.0" w:type="dxa"/>
              <w:left w:w="115.0" w:type="dxa"/>
              <w:bottom w:w="0.0" w:type="dxa"/>
              <w:right w:w="115.0" w:type="dxa"/>
            </w:tcMar>
            <w:vAlign w:val="center"/>
          </w:tcPr>
          <w:p w:rsidR="00000000" w:rsidDel="00000000" w:rsidP="00000000" w:rsidRDefault="00000000" w:rsidRPr="00000000" w14:paraId="00000006">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POST REF:</w:t>
            </w:r>
            <w:r w:rsidDel="00000000" w:rsidR="00000000" w:rsidRPr="00000000">
              <w:rPr>
                <w:rtl w:val="0"/>
              </w:rPr>
            </w:r>
          </w:p>
        </w:tc>
        <w:tc>
          <w:tcPr>
            <w:tcBorders>
              <w:top w:color="1f497d" w:space="0" w:sz="12" w:val="single"/>
              <w:left w:color="1f497d" w:space="0" w:sz="12" w:val="single"/>
              <w:bottom w:color="1f497d" w:space="0" w:sz="12" w:val="single"/>
              <w:right w:color="1f497d" w:space="0" w:sz="12" w:val="single"/>
            </w:tcBorders>
            <w:tcMar>
              <w:top w:w="0.0" w:type="dxa"/>
              <w:left w:w="115.0" w:type="dxa"/>
              <w:bottom w:w="0.0" w:type="dxa"/>
              <w:right w:w="115.0" w:type="dxa"/>
            </w:tcMar>
            <w:vAlign w:val="center"/>
          </w:tcPr>
          <w:p w:rsidR="00000000" w:rsidDel="00000000" w:rsidP="00000000" w:rsidRDefault="00000000" w:rsidRPr="00000000" w14:paraId="00000007">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Long Lee Primary School</w:t>
            </w:r>
          </w:p>
        </w:tc>
      </w:tr>
      <w:tr>
        <w:trPr>
          <w:cantSplit w:val="0"/>
          <w:trHeight w:val="510" w:hRule="atLeast"/>
          <w:tblHeader w:val="0"/>
        </w:trPr>
        <w:tc>
          <w:tcPr>
            <w:tcBorders>
              <w:top w:color="1f497d" w:space="0" w:sz="12" w:val="single"/>
              <w:left w:color="1f497d" w:space="0" w:sz="12" w:val="single"/>
              <w:bottom w:color="1f497d" w:space="0" w:sz="12" w:val="single"/>
              <w:right w:color="1f497d" w:space="0" w:sz="12" w:val="single"/>
            </w:tcBorders>
            <w:tcMar>
              <w:top w:w="0.0" w:type="dxa"/>
              <w:left w:w="115.0" w:type="dxa"/>
              <w:bottom w:w="0.0" w:type="dxa"/>
              <w:right w:w="115.0" w:type="dxa"/>
            </w:tcMar>
            <w:vAlign w:val="center"/>
          </w:tcPr>
          <w:p w:rsidR="00000000" w:rsidDel="00000000" w:rsidP="00000000" w:rsidRDefault="00000000" w:rsidRPr="00000000" w14:paraId="00000008">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GRADE:</w:t>
            </w:r>
            <w:r w:rsidDel="00000000" w:rsidR="00000000" w:rsidRPr="00000000">
              <w:rPr>
                <w:rtl w:val="0"/>
              </w:rPr>
            </w:r>
          </w:p>
        </w:tc>
        <w:tc>
          <w:tcPr>
            <w:tcBorders>
              <w:top w:color="1f497d" w:space="0" w:sz="12" w:val="single"/>
              <w:left w:color="1f497d" w:space="0" w:sz="12" w:val="single"/>
              <w:bottom w:color="1f497d" w:space="0" w:sz="12" w:val="single"/>
              <w:right w:color="1f497d" w:space="0" w:sz="12" w:val="single"/>
            </w:tcBorders>
            <w:tcMar>
              <w:top w:w="0.0" w:type="dxa"/>
              <w:left w:w="115.0" w:type="dxa"/>
              <w:bottom w:w="0.0" w:type="dxa"/>
              <w:right w:w="115.0" w:type="dxa"/>
            </w:tcMar>
            <w:vAlign w:val="center"/>
          </w:tcPr>
          <w:p w:rsidR="00000000" w:rsidDel="00000000" w:rsidP="00000000" w:rsidRDefault="00000000" w:rsidRPr="00000000" w14:paraId="00000009">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Band 6 - SCP 6-11 - dependent on Experience</w:t>
            </w:r>
          </w:p>
        </w:tc>
      </w:tr>
    </w:tbl>
    <w:p w:rsidR="00000000" w:rsidDel="00000000" w:rsidP="00000000" w:rsidRDefault="00000000" w:rsidRPr="00000000" w14:paraId="0000000A">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B">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The following information is furnished to assist staff joining Long Lee to understand and appreciate the work content of their post and the role they are to play in the organisation.  The following points should be noted:</w:t>
      </w:r>
    </w:p>
    <w:p w:rsidR="00000000" w:rsidDel="00000000" w:rsidP="00000000" w:rsidRDefault="00000000" w:rsidRPr="00000000" w14:paraId="0000000C">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br w:type="textWrapping"/>
      </w:r>
    </w:p>
    <w:p w:rsidR="00000000" w:rsidDel="00000000" w:rsidP="00000000" w:rsidRDefault="00000000" w:rsidRPr="00000000" w14:paraId="0000000D">
      <w:pPr>
        <w:numPr>
          <w:ilvl w:val="0"/>
          <w:numId w:val="13"/>
        </w:numPr>
        <w:spacing w:after="0" w:line="240" w:lineRule="auto"/>
        <w:ind w:left="36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Whilst every endeavour has been made to outline the main duties and responsibilities of the post, a document such as this does not permit every item to be specified in detail.  Broad headings, therefore, may have been used below, in which case all the usual associated routines are naturally included in the job profile.</w:t>
      </w:r>
    </w:p>
    <w:p w:rsidR="00000000" w:rsidDel="00000000" w:rsidP="00000000" w:rsidRDefault="00000000" w:rsidRPr="00000000" w14:paraId="0000000E">
      <w:pPr>
        <w:numPr>
          <w:ilvl w:val="0"/>
          <w:numId w:val="13"/>
        </w:numPr>
        <w:spacing w:after="0" w:line="240" w:lineRule="auto"/>
        <w:ind w:left="36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Employees should not refuse to undertake work, which is not specified on this form, but they should record any additional duties they are required to perform and these will be taken into account when the post is reviewed.</w:t>
      </w:r>
    </w:p>
    <w:p w:rsidR="00000000" w:rsidDel="00000000" w:rsidP="00000000" w:rsidRDefault="00000000" w:rsidRPr="00000000" w14:paraId="0000000F">
      <w:pPr>
        <w:numPr>
          <w:ilvl w:val="0"/>
          <w:numId w:val="14"/>
        </w:numPr>
        <w:spacing w:after="0" w:line="240" w:lineRule="auto"/>
        <w:ind w:left="36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This school is an Equal Opportunities Employer and requires its employees to comply with all current equality policies in terms of equal opportunity for employment and access to the Council Services.</w:t>
      </w:r>
    </w:p>
    <w:p w:rsidR="00000000" w:rsidDel="00000000" w:rsidP="00000000" w:rsidRDefault="00000000" w:rsidRPr="00000000" w14:paraId="00000010">
      <w:pPr>
        <w:numPr>
          <w:ilvl w:val="0"/>
          <w:numId w:val="15"/>
        </w:numPr>
        <w:spacing w:after="0" w:line="240" w:lineRule="auto"/>
        <w:ind w:left="36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This school is committed, where possible, to making any necessary reasonable adjustments to the job role and the working environment that would enable access to employment opportunities for disabled job applicants or continued employment for any employee who develops a disabling condition.</w:t>
      </w:r>
    </w:p>
    <w:p w:rsidR="00000000" w:rsidDel="00000000" w:rsidP="00000000" w:rsidRDefault="00000000" w:rsidRPr="00000000" w14:paraId="00000011">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2">
      <w:pPr>
        <w:spacing w:after="0" w:line="240" w:lineRule="auto"/>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Prime objectives of the post:</w:t>
      </w:r>
    </w:p>
    <w:p w:rsidR="00000000" w:rsidDel="00000000" w:rsidP="00000000" w:rsidRDefault="00000000" w:rsidRPr="00000000" w14:paraId="0000001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b w:val="0"/>
          <w:bCs w:val="0"/>
          <w:i w:val="0"/>
          <w:iCs w:val="0"/>
          <w:smallCaps w:val="0"/>
          <w:strike w:val="0"/>
          <w:color w:val="000000"/>
          <w:sz w:val="24"/>
          <w:szCs w:val="24"/>
          <w:u w:val="none"/>
          <w:shd w:fill="auto" w:val="clear"/>
          <w:vertAlign w:val="baseline"/>
        </w:rPr>
      </w:pPr>
      <w:bookmarkStart w:colFirst="0" w:colLast="0" w:name="_heading=h.amfguiukq7gf" w:id="0"/>
      <w:bookmarkEnd w:id="0"/>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Direct Pupil Support: Work 1:1 and in small groups with pupils in the provision, supporting both academic tasks and emotional regulation strategies.</w:t>
      </w:r>
    </w:p>
    <w:p w:rsidR="00000000" w:rsidDel="00000000" w:rsidP="00000000" w:rsidRDefault="00000000" w:rsidRPr="00000000" w14:paraId="0000001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De-escalation &amp; Emotion Coaching: Apply trauma-informed practices, low-arousal techniques, and restorative approaches to help pupils manage dysregulation and stay safe.</w:t>
      </w:r>
    </w:p>
    <w:p w:rsidR="00000000" w:rsidDel="00000000" w:rsidP="00000000" w:rsidRDefault="00000000" w:rsidRPr="00000000" w14:paraId="0000001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Curriculum Adaptation: Adapt learning materials and activities alongside the Provision Teacher to suit individual EHCP (Education, Health and Care Plan) outcomes.</w:t>
      </w:r>
    </w:p>
    <w:p w:rsidR="00000000" w:rsidDel="00000000" w:rsidP="00000000" w:rsidRDefault="00000000" w:rsidRPr="00000000" w14:paraId="0000001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Progress Tracking: Maintain clear records of pupil behaviors, social-emotional milestones, and academic progress to inform review meetings.</w:t>
      </w:r>
    </w:p>
    <w:p w:rsidR="00000000" w:rsidDel="00000000" w:rsidP="00000000" w:rsidRDefault="00000000" w:rsidRPr="00000000" w14:paraId="0000001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Inclusion Transition: Support pupils during planned integration sessions into mainstream primary classrooms where appropriate.</w:t>
      </w:r>
    </w:p>
    <w:p w:rsidR="00000000" w:rsidDel="00000000" w:rsidP="00000000" w:rsidRDefault="00000000" w:rsidRPr="00000000" w14:paraId="0000001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Multi-Agency Collaboration</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Work closely with the SENCo, Educational Psychologists, Speech &amp; Language Therapists, and families to deliver consistent support plans.</w:t>
      </w:r>
    </w:p>
    <w:p w:rsidR="00000000" w:rsidDel="00000000" w:rsidP="00000000" w:rsidRDefault="00000000" w:rsidRPr="00000000" w14:paraId="00000019">
      <w:pPr>
        <w:spacing w:after="280" w:before="28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Effort Demands</w:t>
      </w:r>
    </w:p>
    <w:p w:rsidR="00000000" w:rsidDel="00000000" w:rsidP="00000000" w:rsidRDefault="00000000" w:rsidRPr="00000000" w14:paraId="0000001A">
      <w:pPr>
        <w:pStyle w:val="Heading3"/>
        <w:spacing w:after="0" w:before="0" w:lineRule="auto"/>
        <w:rPr>
          <w:rFonts w:ascii="Arial" w:cs="Arial" w:eastAsia="Arial" w:hAnsi="Arial"/>
          <w:b w:val="0"/>
          <w:bCs w:val="0"/>
          <w:sz w:val="24"/>
          <w:szCs w:val="24"/>
        </w:rPr>
      </w:pPr>
      <w:bookmarkStart w:colFirst="0" w:colLast="0" w:name="_heading=h.bgpb60i4bsxj" w:id="1"/>
      <w:bookmarkEnd w:id="1"/>
      <w:r w:rsidDel="00000000" w:rsidR="00000000" w:rsidRPr="00000000">
        <w:rPr>
          <w:rFonts w:ascii="Arial" w:cs="Arial" w:eastAsia="Arial" w:hAnsi="Arial"/>
          <w:b w:val="0"/>
          <w:bCs w:val="0"/>
          <w:sz w:val="24"/>
          <w:szCs w:val="24"/>
          <w:rtl w:val="0"/>
        </w:rPr>
        <w:t xml:space="preserve">1. Physical Effort Demands</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Continuous Movement &amp; Active Supervision: Standing, walking, stretching, kneeling, and sitting on low primary classroom furniture or floor mats for extended periods.</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Physical De-escalation &amp; Interventions: Applying trained safety interventions (e.g., Team-Teach) when a child poses a risk to themselves or others. This requires strength, balance, and spatial awareness.</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Outdoor &amp; Environmental Exposure: Accompanying pupils on frequent movement breaks, outdoor learning, or sensory walks in all weather conditions.</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pStyle w:val="Heading3"/>
        <w:spacing w:after="0" w:before="0" w:lineRule="auto"/>
        <w:rPr>
          <w:rFonts w:ascii="Arial" w:cs="Arial" w:eastAsia="Arial" w:hAnsi="Arial"/>
          <w:b w:val="0"/>
          <w:bCs w:val="0"/>
          <w:sz w:val="24"/>
          <w:szCs w:val="24"/>
        </w:rPr>
      </w:pPr>
      <w:bookmarkStart w:colFirst="0" w:colLast="0" w:name="_heading=h.vflgpw649dsv" w:id="2"/>
      <w:bookmarkEnd w:id="2"/>
      <w:r w:rsidDel="00000000" w:rsidR="00000000" w:rsidRPr="00000000">
        <w:rPr>
          <w:rFonts w:ascii="Arial" w:cs="Arial" w:eastAsia="Arial" w:hAnsi="Arial"/>
          <w:b w:val="0"/>
          <w:bCs w:val="0"/>
          <w:sz w:val="24"/>
          <w:szCs w:val="24"/>
          <w:rtl w:val="0"/>
        </w:rPr>
        <w:t xml:space="preserve">2. Mental Effort Demands</w:t>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Constant Vigilance &amp; Risk Assessment: Maintaining high situational awareness to spot early warning signs, subtle behavioural shifts, or environmental triggers before dysregulation occurs.</w:t>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Rapid Instructional &amp; Environmental Adaptation: Instantly modifying lesson plans, tasks, or communication methods on the spot when a child reaches cognitive overload or frustration.</w:t>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Multi-Tasking &amp; Split Attention: Balancing individual 1:1 emotional support alongside small-group academic management, record-keeping, and classroom safety.</w:t>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Meticulous Record-Keeping: Writing clear, objective, and legally sound incident logs, behaviour tracking sheets, and EHCP progress updates at the end of high-intensity sessions.</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pStyle w:val="Heading3"/>
        <w:spacing w:after="0" w:before="0" w:lineRule="auto"/>
        <w:rPr>
          <w:rFonts w:ascii="Arial" w:cs="Arial" w:eastAsia="Arial" w:hAnsi="Arial"/>
          <w:b w:val="0"/>
          <w:bCs w:val="0"/>
          <w:sz w:val="24"/>
          <w:szCs w:val="24"/>
        </w:rPr>
      </w:pPr>
      <w:bookmarkStart w:colFirst="0" w:colLast="0" w:name="_heading=h.nb58xfpr0dey" w:id="3"/>
      <w:bookmarkEnd w:id="3"/>
      <w:r w:rsidDel="00000000" w:rsidR="00000000" w:rsidRPr="00000000">
        <w:rPr>
          <w:rFonts w:ascii="Arial" w:cs="Arial" w:eastAsia="Arial" w:hAnsi="Arial"/>
          <w:b w:val="0"/>
          <w:bCs w:val="0"/>
          <w:sz w:val="24"/>
          <w:szCs w:val="24"/>
          <w:rtl w:val="0"/>
        </w:rPr>
        <w:t xml:space="preserve">3. Emotional Effort Demands</w:t>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High Emotional Regulation &amp; Absorption: Absorbing high levels of pupil distress, anger, anxiety, or trauma while remaining visibly calm, grounded, and unshakeable (co-regulation).</w:t>
      </w:r>
    </w:p>
    <w:p w:rsidR="00000000" w:rsidDel="00000000" w:rsidP="00000000" w:rsidRDefault="00000000" w:rsidRPr="00000000" w14:paraId="000000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Managing Verbal Aggression &amp; Rejection: Processing insults, swearing, or personal rejections from dysregulated pupils without taking them personally or reacting defensively.</w:t>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Sustained Empathy Under Stress: Maintaining a warm, supportive, and non-punitive mindset even after prolonged periods of challenging or non-compliant behaviour. </w:t>
      </w:r>
    </w:p>
    <w:p w:rsidR="00000000" w:rsidDel="00000000" w:rsidP="00000000" w:rsidRDefault="00000000" w:rsidRPr="00000000" w14:paraId="000000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Compassion Fatigue &amp; Burnout Prevention: Managing personal stress levels, maintaining healthy professional boundaries, and utilizing debrief sessions effectively.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pStyle w:val="Heading3"/>
        <w:spacing w:after="0" w:before="0" w:lineRule="auto"/>
        <w:rPr>
          <w:rFonts w:ascii="Arial" w:cs="Arial" w:eastAsia="Arial" w:hAnsi="Arial"/>
          <w:b w:val="0"/>
          <w:bCs w:val="0"/>
          <w:sz w:val="24"/>
          <w:szCs w:val="24"/>
        </w:rPr>
      </w:pPr>
      <w:bookmarkStart w:colFirst="0" w:colLast="0" w:name="_heading=h.sxo6sn682wo0" w:id="4"/>
      <w:bookmarkEnd w:id="4"/>
      <w:r w:rsidDel="00000000" w:rsidR="00000000" w:rsidRPr="00000000">
        <w:rPr>
          <w:rFonts w:ascii="Arial" w:cs="Arial" w:eastAsia="Arial" w:hAnsi="Arial"/>
          <w:b w:val="0"/>
          <w:bCs w:val="0"/>
          <w:sz w:val="24"/>
          <w:szCs w:val="24"/>
          <w:rtl w:val="0"/>
        </w:rPr>
        <w:t xml:space="preserve">4. Sensory Effort Demands</w:t>
      </w:r>
    </w:p>
    <w:p w:rsidR="00000000" w:rsidDel="00000000" w:rsidP="00000000" w:rsidRDefault="00000000" w:rsidRPr="00000000" w14:paraId="0000002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High-Noise Environments: Working through frequent high-volume sensory inputs, such as screaming, shouting, banging, or crying during periods of pupil dysregulation.</w:t>
      </w:r>
    </w:p>
    <w:p w:rsidR="00000000" w:rsidDel="00000000" w:rsidP="00000000" w:rsidRDefault="00000000" w:rsidRPr="00000000" w14:paraId="0000002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Sensory Adaptability: Transitioning rapidly between quiet, low-arousal sensory rooms and active, high-energy primary environments or outdoor spaces.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Responsibilities:</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pStyle w:val="Heading3"/>
        <w:spacing w:after="0" w:before="0" w:lineRule="auto"/>
        <w:rPr>
          <w:rFonts w:ascii="Arial" w:cs="Arial" w:eastAsia="Arial" w:hAnsi="Arial"/>
          <w:b w:val="0"/>
          <w:bCs w:val="0"/>
          <w:sz w:val="24"/>
          <w:szCs w:val="24"/>
        </w:rPr>
      </w:pPr>
      <w:bookmarkStart w:colFirst="0" w:colLast="0" w:name="_heading=h.6eu0wkpozd82" w:id="5"/>
      <w:bookmarkEnd w:id="5"/>
      <w:r w:rsidDel="00000000" w:rsidR="00000000" w:rsidRPr="00000000">
        <w:rPr>
          <w:rFonts w:ascii="Arial" w:cs="Arial" w:eastAsia="Arial" w:hAnsi="Arial"/>
          <w:b w:val="0"/>
          <w:bCs w:val="0"/>
          <w:sz w:val="24"/>
          <w:szCs w:val="24"/>
          <w:rtl w:val="0"/>
        </w:rPr>
        <w:t xml:space="preserve">De-escalation &amp; Emotional Regulation Support</w:t>
      </w:r>
    </w:p>
    <w:p w:rsidR="00000000" w:rsidDel="00000000" w:rsidP="00000000" w:rsidRDefault="00000000" w:rsidRPr="00000000" w14:paraId="0000003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Co-Regulation: Guide pupils through high-arousal or emotional distress using calm, low-arousal body language, tone of voice, and trauma-informed language.</w:t>
      </w:r>
    </w:p>
    <w:p w:rsidR="00000000" w:rsidDel="00000000" w:rsidP="00000000" w:rsidRDefault="00000000" w:rsidRPr="00000000" w14:paraId="0000003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Proactive Interventions: Spot early signs of frustration, sensory overload, or behavioural triggers, stepping in before dysregulation escalates.</w:t>
      </w:r>
    </w:p>
    <w:p w:rsidR="00000000" w:rsidDel="00000000" w:rsidP="00000000" w:rsidRDefault="00000000" w:rsidRPr="00000000" w14:paraId="0000003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Restorative Practice: Facilitate debriefs with pupils after dysregulation incidents to help them understand feelings, rebuild relationships, and learn safe coping mechanisms.</w:t>
      </w:r>
    </w:p>
    <w:p w:rsidR="00000000" w:rsidDel="00000000" w:rsidP="00000000" w:rsidRDefault="00000000" w:rsidRPr="00000000" w14:paraId="0000003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Physical Safety: Implement approved de-escalation protocols and, when strictly necessary for safety, assist with physical intervention techniques (e.g., Team-Teach).</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pStyle w:val="Heading3"/>
        <w:spacing w:after="0" w:before="0" w:lineRule="auto"/>
        <w:rPr>
          <w:rFonts w:ascii="Arial" w:cs="Arial" w:eastAsia="Arial" w:hAnsi="Arial"/>
          <w:b w:val="0"/>
          <w:bCs w:val="0"/>
          <w:sz w:val="24"/>
          <w:szCs w:val="24"/>
        </w:rPr>
      </w:pPr>
      <w:bookmarkStart w:colFirst="0" w:colLast="0" w:name="_heading=h.nn4kcpsrrdvh" w:id="6"/>
      <w:bookmarkEnd w:id="6"/>
      <w:r w:rsidDel="00000000" w:rsidR="00000000" w:rsidRPr="00000000">
        <w:rPr>
          <w:rFonts w:ascii="Arial" w:cs="Arial" w:eastAsia="Arial" w:hAnsi="Arial"/>
          <w:b w:val="0"/>
          <w:bCs w:val="0"/>
          <w:sz w:val="24"/>
          <w:szCs w:val="24"/>
          <w:rtl w:val="0"/>
        </w:rPr>
        <w:t xml:space="preserve">Direct 1:1 and Small-Group Pupil Support</w:t>
      </w:r>
    </w:p>
    <w:p w:rsidR="00000000" w:rsidDel="00000000" w:rsidP="00000000" w:rsidRDefault="00000000" w:rsidRPr="00000000" w14:paraId="0000003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Emotional &amp; Social Coaching: Deliver targeted 1:1 or small-group interventions (e.g.,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Zones of Regulation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ELSA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sessions,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Lego Therapy</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or sensory circuit routines).</w:t>
      </w:r>
    </w:p>
    <w:p w:rsidR="00000000" w:rsidDel="00000000" w:rsidP="00000000" w:rsidRDefault="00000000" w:rsidRPr="00000000" w14:paraId="0000003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Nurturing Relationships: Build secure, trusting, and non-judgmental attachments with pupils who have experienced developmental trauma, loss, or attachment difficulties.</w:t>
      </w:r>
    </w:p>
    <w:p w:rsidR="00000000" w:rsidDel="00000000" w:rsidP="00000000" w:rsidRDefault="00000000" w:rsidRPr="00000000" w14:paraId="0000003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Inclusion &amp; Transition: Support pupils during planned integration sessions into mainstream primary classrooms, helping them navigate larger group dynamics.</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pStyle w:val="Heading4"/>
        <w:spacing w:after="0" w:before="0" w:lineRule="auto"/>
        <w:rPr>
          <w:rFonts w:ascii="Arial" w:cs="Arial" w:eastAsia="Arial" w:hAnsi="Arial"/>
          <w:b w:val="0"/>
          <w:bCs w:val="0"/>
        </w:rPr>
      </w:pPr>
      <w:bookmarkStart w:colFirst="0" w:colLast="0" w:name="_heading=h.a9iypkvh0xyh" w:id="7"/>
      <w:bookmarkEnd w:id="7"/>
      <w:r w:rsidDel="00000000" w:rsidR="00000000" w:rsidRPr="00000000">
        <w:rPr>
          <w:rFonts w:ascii="Arial" w:cs="Arial" w:eastAsia="Arial" w:hAnsi="Arial"/>
          <w:b w:val="0"/>
          <w:bCs w:val="0"/>
          <w:rtl w:val="0"/>
        </w:rPr>
        <w:t xml:space="preserve">Lunchtime &amp; Social Time Support (Dinner Duty)</w:t>
      </w:r>
    </w:p>
    <w:p w:rsidR="00000000" w:rsidDel="00000000" w:rsidP="00000000" w:rsidRDefault="00000000" w:rsidRPr="00000000" w14:paraId="0000003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Unstructured Time Supervision: Supervise and support provision pupils during lunchtime (dining hall and outdoor play/recreation), recognizing that unstructured times are often high-trigger periods for SEMH pupils.</w:t>
      </w:r>
    </w:p>
    <w:p w:rsidR="00000000" w:rsidDel="00000000" w:rsidP="00000000" w:rsidRDefault="00000000" w:rsidRPr="00000000" w14:paraId="0000003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Promoting Prosocial Play: Model, facilitate, and scaffold positive social interaction, turn-taking, and cooperative play during lunch breaks.</w:t>
      </w:r>
    </w:p>
    <w:p w:rsidR="00000000" w:rsidDel="00000000" w:rsidP="00000000" w:rsidRDefault="00000000" w:rsidRPr="00000000" w14:paraId="0000003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Dining &amp; Routine Support: Assist pupils in navigating dining hall routines, sensory challenges around food/noise, and maintaining a calm, safe eating environment.</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pStyle w:val="Heading3"/>
        <w:spacing w:after="0" w:before="0" w:lineRule="auto"/>
        <w:rPr>
          <w:rFonts w:ascii="Arial" w:cs="Arial" w:eastAsia="Arial" w:hAnsi="Arial"/>
          <w:b w:val="0"/>
          <w:bCs w:val="0"/>
          <w:sz w:val="24"/>
          <w:szCs w:val="24"/>
        </w:rPr>
      </w:pPr>
      <w:bookmarkStart w:colFirst="0" w:colLast="0" w:name="_heading=h.dshrz4b32kpw" w:id="8"/>
      <w:bookmarkEnd w:id="8"/>
      <w:r w:rsidDel="00000000" w:rsidR="00000000" w:rsidRPr="00000000">
        <w:rPr>
          <w:rFonts w:ascii="Arial" w:cs="Arial" w:eastAsia="Arial" w:hAnsi="Arial"/>
          <w:b w:val="0"/>
          <w:bCs w:val="0"/>
          <w:sz w:val="24"/>
          <w:szCs w:val="24"/>
          <w:rtl w:val="0"/>
        </w:rPr>
        <w:t xml:space="preserve">Curriculum Adaptation &amp; Academic Support</w:t>
      </w:r>
    </w:p>
    <w:p w:rsidR="00000000" w:rsidDel="00000000" w:rsidP="00000000" w:rsidRDefault="00000000" w:rsidRPr="00000000" w14:paraId="0000004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Differentiating Tasks: Work alongside the Provision Teacher to break down learning into manageable micro-steps, adapting tasks on the fly to match a child's current emotional state.</w:t>
      </w:r>
    </w:p>
    <w:p w:rsidR="00000000" w:rsidDel="00000000" w:rsidP="00000000" w:rsidRDefault="00000000" w:rsidRPr="00000000" w14:paraId="0000004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Scaffolding Learning: Use visual timetables, social stories, tactile resources, and specialised aids to make learning accessible without causing cognitive overload.</w:t>
      </w:r>
    </w:p>
    <w:p w:rsidR="00000000" w:rsidDel="00000000" w:rsidP="00000000" w:rsidRDefault="00000000" w:rsidRPr="00000000" w14:paraId="0000004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Encouraging Engagement: Re-engage distracted or resistant pupils using interest-based tasks and positive reinforcement.</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pStyle w:val="Heading3"/>
        <w:spacing w:after="0" w:before="0" w:lineRule="auto"/>
        <w:rPr>
          <w:rFonts w:ascii="Arial" w:cs="Arial" w:eastAsia="Arial" w:hAnsi="Arial"/>
          <w:b w:val="0"/>
          <w:bCs w:val="0"/>
          <w:sz w:val="24"/>
          <w:szCs w:val="24"/>
        </w:rPr>
      </w:pPr>
      <w:bookmarkStart w:colFirst="0" w:colLast="0" w:name="_heading=h.tawq9m757gq" w:id="9"/>
      <w:bookmarkEnd w:id="9"/>
      <w:r w:rsidDel="00000000" w:rsidR="00000000" w:rsidRPr="00000000">
        <w:rPr>
          <w:rFonts w:ascii="Arial" w:cs="Arial" w:eastAsia="Arial" w:hAnsi="Arial"/>
          <w:b w:val="0"/>
          <w:bCs w:val="0"/>
          <w:sz w:val="24"/>
          <w:szCs w:val="24"/>
          <w:rtl w:val="0"/>
        </w:rPr>
        <w:t xml:space="preserve">Observation, Tracking &amp; Record-Keeping</w:t>
      </w:r>
    </w:p>
    <w:p w:rsidR="00000000" w:rsidDel="00000000" w:rsidP="00000000" w:rsidRDefault="00000000" w:rsidRPr="00000000" w14:paraId="0000004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Objective Logging: Maintain clear, non-biased records of behavioural incidents, emotional triggers, and successful regulation strategies.</w:t>
      </w:r>
    </w:p>
    <w:p w:rsidR="00000000" w:rsidDel="00000000" w:rsidP="00000000" w:rsidRDefault="00000000" w:rsidRPr="00000000" w14:paraId="0000004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EHCP Monitoring: Track daily progress toward specific targets outlined in pupils' Education, Health and Care Plans (EHCPs) and Individual Education Plans (IEPs).</w:t>
      </w:r>
    </w:p>
    <w:p w:rsidR="00000000" w:rsidDel="00000000" w:rsidP="00000000" w:rsidRDefault="00000000" w:rsidRPr="00000000" w14:paraId="0000004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Contributing to Reviews: Provide feedback for annual EHCP reviews, multi-agency strategy meetings, and parental updates.</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pStyle w:val="Heading3"/>
        <w:spacing w:after="0" w:before="0" w:lineRule="auto"/>
        <w:rPr>
          <w:rFonts w:ascii="Arial" w:cs="Arial" w:eastAsia="Arial" w:hAnsi="Arial"/>
          <w:b w:val="0"/>
          <w:bCs w:val="0"/>
          <w:sz w:val="24"/>
          <w:szCs w:val="24"/>
        </w:rPr>
      </w:pPr>
      <w:bookmarkStart w:colFirst="0" w:colLast="0" w:name="_heading=h.n9wdzes1j8us" w:id="10"/>
      <w:bookmarkEnd w:id="10"/>
      <w:r w:rsidDel="00000000" w:rsidR="00000000" w:rsidRPr="00000000">
        <w:rPr>
          <w:rFonts w:ascii="Arial" w:cs="Arial" w:eastAsia="Arial" w:hAnsi="Arial"/>
          <w:b w:val="0"/>
          <w:bCs w:val="0"/>
          <w:sz w:val="24"/>
          <w:szCs w:val="24"/>
          <w:rtl w:val="0"/>
        </w:rPr>
        <w:t xml:space="preserve">Safeguarding &amp; Pupil Wellbeing</w:t>
      </w:r>
    </w:p>
    <w:p w:rsidR="00000000" w:rsidDel="00000000" w:rsidP="00000000" w:rsidRDefault="00000000" w:rsidRPr="00000000" w14:paraId="0000004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 Protection: Strictly adhere to school safeguarding procedures, remaining vigilant to indicators of trauma, neglect, or abuse, and reporting concerns immediately.</w:t>
      </w:r>
    </w:p>
    <w:p w:rsidR="00000000" w:rsidDel="00000000" w:rsidP="00000000" w:rsidRDefault="00000000" w:rsidRPr="00000000" w14:paraId="0000004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Physical &amp; Environmental Safety: Ensure low-arousal areas, sensory rooms, and classrooms remain safe, organised, and free of potential hazards.</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pStyle w:val="Heading3"/>
        <w:spacing w:after="0" w:before="0" w:lineRule="auto"/>
        <w:rPr>
          <w:rFonts w:ascii="Arial" w:cs="Arial" w:eastAsia="Arial" w:hAnsi="Arial"/>
          <w:b w:val="0"/>
          <w:bCs w:val="0"/>
          <w:sz w:val="24"/>
          <w:szCs w:val="24"/>
        </w:rPr>
      </w:pPr>
      <w:bookmarkStart w:colFirst="0" w:colLast="0" w:name="_heading=h.d4cw2y533clg" w:id="11"/>
      <w:bookmarkEnd w:id="11"/>
      <w:r w:rsidDel="00000000" w:rsidR="00000000" w:rsidRPr="00000000">
        <w:rPr>
          <w:rFonts w:ascii="Arial" w:cs="Arial" w:eastAsia="Arial" w:hAnsi="Arial"/>
          <w:b w:val="0"/>
          <w:bCs w:val="0"/>
          <w:sz w:val="24"/>
          <w:szCs w:val="24"/>
          <w:rtl w:val="0"/>
        </w:rPr>
        <w:t xml:space="preserve">Team &amp; Multi-Agency Collaboration</w:t>
      </w:r>
    </w:p>
    <w:p w:rsidR="00000000" w:rsidDel="00000000" w:rsidP="00000000" w:rsidRDefault="00000000" w:rsidRPr="00000000" w14:paraId="0000005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Parental Partnership: Communicate regularly and sensitively with parents and carers to ensure consistency between home and school strategies.</w:t>
      </w:r>
    </w:p>
    <w:p w:rsidR="00000000" w:rsidDel="00000000" w:rsidP="00000000" w:rsidRDefault="00000000" w:rsidRPr="00000000" w14:paraId="0000005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Reflective Teamwork: Participate in daily team debriefs to analyse challenging situations, adjust approaches, and maintain personal resilience.</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Fluency Duty</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line with the Immigration Act 2016; the Government has created a duty to ensure that all Public Authority staff working in customer facing roles can speak fluent English to an appropriate standard. For this role the post holder is required to meet the Advanced Threshold Level.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Advanced Threshold Level </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post holder should demonstrate they can: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Express themselves fluently and spontaneously at length effortlessly. </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Explain difficult concepts simply without hindering the natural smooth flow of language.  ● Take responsibility for promoting high standards of literacy, articulacy and the correct use of standard English in School. </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Special Considerations of Service: </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 contra-indications in personal background or criminal record indicating unsuitability to work with children/young people/vulnerable clients/finance (An enhanced DBS check is required). </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Other Considerations: </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To be aware of and comply with policies and procedures relating to child protection and safeguarding; report any such suspicions to the school’s nominated Designated Safeguarding Lead.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To act in accordance with the Data Protection Act and maintain confidentiality at all times e.g. access to staff/student/parent and carers files. </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Accept and commit to the principles underlying the Schools Equal Rights policies and practices.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Be able to perform all duties and tasks with reasonable adjustments, where appropriate, in accordance with the Equality Act. </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Must be legally entitled to work in the UK.</w:t>
      </w:r>
    </w:p>
    <w:p w:rsidR="00000000" w:rsidDel="00000000" w:rsidP="00000000" w:rsidRDefault="00000000" w:rsidRPr="00000000" w14:paraId="00000064">
      <w:pPr>
        <w:spacing w:after="24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5">
      <w:pPr>
        <w:spacing w:after="24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6">
      <w:pPr>
        <w:spacing w:after="24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7">
      <w:pPr>
        <w:spacing w:after="24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8">
      <w:pPr>
        <w:spacing w:after="24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Knowledge &amp; Skills</w:t>
      </w:r>
    </w:p>
    <w:p w:rsidR="00000000" w:rsidDel="00000000" w:rsidP="00000000" w:rsidRDefault="00000000" w:rsidRPr="00000000" w14:paraId="00000069">
      <w:pP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Personnel Specification:</w:t>
      </w:r>
    </w:p>
    <w:p w:rsidR="00000000" w:rsidDel="00000000" w:rsidP="00000000" w:rsidRDefault="00000000" w:rsidRPr="00000000" w14:paraId="0000006A">
      <w:pPr>
        <w:spacing w:after="0" w:line="240" w:lineRule="auto"/>
        <w:rPr>
          <w:rFonts w:ascii="Arial" w:cs="Arial" w:eastAsia="Arial" w:hAnsi="Arial"/>
          <w:b w:val="1"/>
          <w:bCs w:val="1"/>
          <w:sz w:val="24"/>
          <w:szCs w:val="24"/>
        </w:rPr>
      </w:pPr>
      <w:r w:rsidDel="00000000" w:rsidR="00000000" w:rsidRPr="00000000">
        <w:rPr>
          <w:rtl w:val="0"/>
        </w:rPr>
      </w:r>
    </w:p>
    <w:tbl>
      <w:tblPr>
        <w:tblStyle w:val="Table2"/>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80"/>
        <w:gridCol w:w="2220"/>
        <w:tblGridChange w:id="0">
          <w:tblGrid>
            <w:gridCol w:w="6780"/>
            <w:gridCol w:w="222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B">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Criteria</w:t>
            </w:r>
          </w:p>
        </w:tc>
        <w:tc>
          <w:tcPr>
            <w:shd w:fill="auto" w:val="clear"/>
            <w:tcMar>
              <w:top w:w="100.0" w:type="dxa"/>
              <w:left w:w="100.0" w:type="dxa"/>
              <w:bottom w:w="100.0" w:type="dxa"/>
              <w:right w:w="100.0" w:type="dxa"/>
            </w:tcMar>
          </w:tcPr>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Essential/</w:t>
            </w:r>
          </w:p>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Desirable</w:t>
            </w:r>
          </w:p>
        </w:tc>
      </w:tr>
      <w:tr>
        <w:trPr>
          <w:cantSplit w:val="0"/>
          <w:trHeight w:val="40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Qualifications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0">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GCSE English and Mathematics at Grade C/4 or above (or Functional Skills Level 2 equivalent).</w:t>
            </w:r>
          </w:p>
        </w:tc>
        <w:tc>
          <w:tcPr>
            <w:shd w:fill="auto" w:val="clear"/>
            <w:tcMar>
              <w:top w:w="100.0" w:type="dxa"/>
              <w:left w:w="100.0" w:type="dxa"/>
              <w:bottom w:w="100.0" w:type="dxa"/>
              <w:right w:w="100.0" w:type="dxa"/>
            </w:tcMar>
          </w:tcPr>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Essential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Basic Safeguarding / Child Protection Certificate (usually completed during onboarding or valid from recent role).</w:t>
            </w:r>
          </w:p>
        </w:tc>
        <w:tc>
          <w:tcPr>
            <w:shd w:fill="auto" w:val="clear"/>
            <w:tcMar>
              <w:top w:w="100.0" w:type="dxa"/>
              <w:left w:w="100.0" w:type="dxa"/>
              <w:bottom w:w="100.0" w:type="dxa"/>
              <w:right w:w="100.0" w:type="dxa"/>
            </w:tcMar>
          </w:tcPr>
          <w:p w:rsidR="00000000" w:rsidDel="00000000" w:rsidP="00000000" w:rsidRDefault="00000000" w:rsidRPr="00000000" w14:paraId="00000073">
            <w:pPr>
              <w:widowControl w:val="0"/>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Essential</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4">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Spoken English Fluency: Demonstrates spoken English at the Advanced Threshold Level under statutory duty.  </w:t>
            </w:r>
          </w:p>
        </w:tc>
        <w:tc>
          <w:tcPr>
            <w:shd w:fill="auto" w:val="clear"/>
            <w:tcMar>
              <w:top w:w="100.0" w:type="dxa"/>
              <w:left w:w="100.0" w:type="dxa"/>
              <w:bottom w:w="100.0" w:type="dxa"/>
              <w:right w:w="100.0" w:type="dxa"/>
            </w:tcMar>
          </w:tcPr>
          <w:p w:rsidR="00000000" w:rsidDel="00000000" w:rsidP="00000000" w:rsidRDefault="00000000" w:rsidRPr="00000000" w14:paraId="00000075">
            <w:pPr>
              <w:widowControl w:val="0"/>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Essential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6">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Level 2 or Level 3 Certificate/Diploma in Supporting Teaching and Learning in Schools (STLS).</w:t>
            </w:r>
          </w:p>
        </w:tc>
        <w:tc>
          <w:tcPr>
            <w:shd w:fill="auto" w:val="clear"/>
            <w:tcMar>
              <w:top w:w="100.0" w:type="dxa"/>
              <w:left w:w="100.0" w:type="dxa"/>
              <w:bottom w:w="100.0" w:type="dxa"/>
              <w:right w:w="100.0" w:type="dxa"/>
            </w:tcMar>
          </w:tcPr>
          <w:p w:rsidR="00000000" w:rsidDel="00000000" w:rsidP="00000000" w:rsidRDefault="00000000" w:rsidRPr="00000000" w14:paraId="00000077">
            <w:pPr>
              <w:widowControl w:val="0"/>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Desirable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8">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Team-Teach (Foundation or Advanced Certificate)</w:t>
            </w:r>
          </w:p>
        </w:tc>
        <w:tc>
          <w:tcPr>
            <w:shd w:fill="auto" w:val="clear"/>
            <w:tcMar>
              <w:top w:w="100.0" w:type="dxa"/>
              <w:left w:w="100.0" w:type="dxa"/>
              <w:bottom w:w="100.0" w:type="dxa"/>
              <w:right w:w="100.0" w:type="dxa"/>
            </w:tcMar>
          </w:tcPr>
          <w:p w:rsidR="00000000" w:rsidDel="00000000" w:rsidP="00000000" w:rsidRDefault="00000000" w:rsidRPr="00000000" w14:paraId="00000079">
            <w:pPr>
              <w:widowControl w:val="0"/>
              <w:pBdr>
                <w:top w:space="0" w:sz="0" w:val="nil"/>
                <w:left w:space="0" w:sz="0" w:val="nil"/>
                <w:bottom w:space="0" w:sz="0" w:val="nil"/>
                <w:right w:space="0" w:sz="0" w:val="nil"/>
                <w:between w:space="0" w:sz="0" w:val="nil"/>
              </w:pBdr>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Desirable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A">
            <w:pPr>
              <w:widowControl w:val="0"/>
              <w:pBdr>
                <w:top w:space="0" w:sz="0" w:val="nil"/>
                <w:left w:space="0" w:sz="0" w:val="nil"/>
                <w:bottom w:space="0" w:sz="0" w:val="nil"/>
                <w:right w:space="0" w:sz="0" w:val="nil"/>
                <w:between w:space="0" w:sz="0" w:val="nil"/>
              </w:pBdr>
              <w:tabs>
                <w:tab w:val="left" w:leader="none" w:pos="4260"/>
              </w:tabs>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Trauma-Informed Schools UK (TISUK) Diploma or Practitioner Certificate</w:t>
            </w:r>
          </w:p>
        </w:tc>
        <w:tc>
          <w:tcPr>
            <w:shd w:fill="auto" w:val="clear"/>
            <w:tcMar>
              <w:top w:w="100.0" w:type="dxa"/>
              <w:left w:w="100.0" w:type="dxa"/>
              <w:bottom w:w="100.0" w:type="dxa"/>
              <w:right w:w="100.0" w:type="dxa"/>
            </w:tcMar>
          </w:tcPr>
          <w:p w:rsidR="00000000" w:rsidDel="00000000" w:rsidP="00000000" w:rsidRDefault="00000000" w:rsidRPr="00000000" w14:paraId="0000007B">
            <w:pPr>
              <w:widowControl w:val="0"/>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Desirable</w:t>
            </w:r>
            <w:r w:rsidDel="00000000" w:rsidR="00000000" w:rsidRPr="00000000">
              <w:rPr>
                <w:rtl w:val="0"/>
              </w:rPr>
            </w:r>
          </w:p>
        </w:tc>
      </w:tr>
      <w:tr>
        <w:trPr>
          <w:cantSplit w:val="0"/>
          <w:trHeight w:val="40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7C">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Experience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E">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Demonstrable experience working with children who display social, emotional, or mental health challenges, attachment difficulties, or developmental trauma.</w:t>
            </w:r>
          </w:p>
        </w:tc>
        <w:tc>
          <w:tcPr>
            <w:shd w:fill="auto" w:val="clear"/>
            <w:tcMar>
              <w:top w:w="100.0" w:type="dxa"/>
              <w:left w:w="100.0" w:type="dxa"/>
              <w:bottom w:w="100.0" w:type="dxa"/>
              <w:right w:w="100.0" w:type="dxa"/>
            </w:tcMar>
          </w:tcPr>
          <w:p w:rsidR="00000000" w:rsidDel="00000000" w:rsidP="00000000" w:rsidRDefault="00000000" w:rsidRPr="00000000" w14:paraId="0000007F">
            <w:pPr>
              <w:widowControl w:val="0"/>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Essential</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0">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Experience working within a primary school classroom, SEN school, or specialised provision.</w:t>
            </w:r>
          </w:p>
        </w:tc>
        <w:tc>
          <w:tcPr>
            <w:shd w:fill="auto" w:val="clear"/>
            <w:tcMar>
              <w:top w:w="100.0" w:type="dxa"/>
              <w:left w:w="100.0" w:type="dxa"/>
              <w:bottom w:w="100.0" w:type="dxa"/>
              <w:right w:w="100.0" w:type="dxa"/>
            </w:tcMar>
          </w:tcPr>
          <w:p w:rsidR="00000000" w:rsidDel="00000000" w:rsidP="00000000" w:rsidRDefault="00000000" w:rsidRPr="00000000" w14:paraId="00000081">
            <w:pPr>
              <w:widowControl w:val="0"/>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Essential</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2">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Familiarity with primary-level curriculum basics (Early Years, Key Stage 1, or Key Stage 2) to help deliver modified learning tasks.</w:t>
            </w:r>
          </w:p>
        </w:tc>
        <w:tc>
          <w:tcPr>
            <w:shd w:fill="auto" w:val="clear"/>
            <w:tcMar>
              <w:top w:w="100.0" w:type="dxa"/>
              <w:left w:w="100.0" w:type="dxa"/>
              <w:bottom w:w="100.0" w:type="dxa"/>
              <w:right w:w="100.0" w:type="dxa"/>
            </w:tcMar>
          </w:tcPr>
          <w:p w:rsidR="00000000" w:rsidDel="00000000" w:rsidP="00000000" w:rsidRDefault="00000000" w:rsidRPr="00000000" w14:paraId="00000083">
            <w:pPr>
              <w:widowControl w:val="0"/>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Essential</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4">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Practical experience applying de-escalation strategies in real-time high-arousal situations.</w:t>
            </w:r>
          </w:p>
        </w:tc>
        <w:tc>
          <w:tcPr>
            <w:shd w:fill="auto" w:val="clear"/>
            <w:tcMar>
              <w:top w:w="100.0" w:type="dxa"/>
              <w:left w:w="100.0" w:type="dxa"/>
              <w:bottom w:w="100.0" w:type="dxa"/>
              <w:right w:w="100.0" w:type="dxa"/>
            </w:tcMar>
          </w:tcPr>
          <w:p w:rsidR="00000000" w:rsidDel="00000000" w:rsidP="00000000" w:rsidRDefault="00000000" w:rsidRPr="00000000" w14:paraId="00000085">
            <w:pPr>
              <w:widowControl w:val="0"/>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Essential</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6">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Experience delivering specific targets outlined in Education, Health and Care Plans (EHCPs) or Individual Education Plans (IEPs).</w:t>
            </w:r>
          </w:p>
        </w:tc>
        <w:tc>
          <w:tcPr>
            <w:shd w:fill="auto" w:val="clear"/>
            <w:tcMar>
              <w:top w:w="100.0" w:type="dxa"/>
              <w:left w:w="100.0" w:type="dxa"/>
              <w:bottom w:w="100.0" w:type="dxa"/>
              <w:right w:w="100.0" w:type="dxa"/>
            </w:tcMar>
          </w:tcPr>
          <w:p w:rsidR="00000000" w:rsidDel="00000000" w:rsidP="00000000" w:rsidRDefault="00000000" w:rsidRPr="00000000" w14:paraId="00000087">
            <w:pPr>
              <w:widowControl w:val="0"/>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Desirable</w:t>
            </w:r>
            <w:r w:rsidDel="00000000" w:rsidR="00000000" w:rsidRPr="00000000">
              <w:rPr>
                <w:rtl w:val="0"/>
              </w:rPr>
            </w:r>
          </w:p>
        </w:tc>
      </w:tr>
      <w:tr>
        <w:trPr>
          <w:cantSplit w:val="0"/>
          <w:trHeight w:val="40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88">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Knowledge &amp; Understanding</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A">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Solid understanding of primary safeguarding practices, signs of abuse or neglect, and strict adherence to reporting protocols (Keeping Children Safe in Education).</w:t>
            </w:r>
          </w:p>
        </w:tc>
        <w:tc>
          <w:tcPr>
            <w:shd w:fill="auto" w:val="clear"/>
            <w:tcMar>
              <w:top w:w="100.0" w:type="dxa"/>
              <w:left w:w="100.0" w:type="dxa"/>
              <w:bottom w:w="100.0" w:type="dxa"/>
              <w:right w:w="100.0" w:type="dxa"/>
            </w:tcMar>
          </w:tcPr>
          <w:p w:rsidR="00000000" w:rsidDel="00000000" w:rsidP="00000000" w:rsidRDefault="00000000" w:rsidRPr="00000000" w14:paraId="0000008B">
            <w:pPr>
              <w:widowControl w:val="0"/>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Essential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C">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Basic understanding of how dysregulation affects the brain (e.g., the fight, flight, freeze response) and why traditional punitive measures often increase distress rather than change behaviour</w:t>
            </w:r>
          </w:p>
        </w:tc>
        <w:tc>
          <w:tcPr>
            <w:shd w:fill="auto" w:val="clear"/>
            <w:tcMar>
              <w:top w:w="100.0" w:type="dxa"/>
              <w:left w:w="100.0" w:type="dxa"/>
              <w:bottom w:w="100.0" w:type="dxa"/>
              <w:right w:w="100.0" w:type="dxa"/>
            </w:tcMar>
          </w:tcPr>
          <w:p w:rsidR="00000000" w:rsidDel="00000000" w:rsidP="00000000" w:rsidRDefault="00000000" w:rsidRPr="00000000" w14:paraId="0000008D">
            <w:pPr>
              <w:widowControl w:val="0"/>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Essential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E">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Understanding relational practice—focusing on connection before correction, maintaining high warmth alongside firm boundaries, and prioritizing emotional safety.</w:t>
            </w:r>
          </w:p>
        </w:tc>
        <w:tc>
          <w:tcPr>
            <w:shd w:fill="auto" w:val="clear"/>
            <w:tcMar>
              <w:top w:w="100.0" w:type="dxa"/>
              <w:left w:w="100.0" w:type="dxa"/>
              <w:bottom w:w="100.0" w:type="dxa"/>
              <w:right w:w="100.0" w:type="dxa"/>
            </w:tcMar>
          </w:tcPr>
          <w:p w:rsidR="00000000" w:rsidDel="00000000" w:rsidP="00000000" w:rsidRDefault="00000000" w:rsidRPr="00000000" w14:paraId="0000008F">
            <w:pPr>
              <w:widowControl w:val="0"/>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Essential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0">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Understanding early literacy and numeracy concepts (KS1/KS2) to break down learning into small, achievable steps without overwhelming the pupil.</w:t>
            </w:r>
          </w:p>
        </w:tc>
        <w:tc>
          <w:tcPr>
            <w:shd w:fill="auto" w:val="clear"/>
            <w:tcMar>
              <w:top w:w="100.0" w:type="dxa"/>
              <w:left w:w="100.0" w:type="dxa"/>
              <w:bottom w:w="100.0" w:type="dxa"/>
              <w:right w:w="100.0" w:type="dxa"/>
            </w:tcMar>
          </w:tcPr>
          <w:p w:rsidR="00000000" w:rsidDel="00000000" w:rsidP="00000000" w:rsidRDefault="00000000" w:rsidRPr="00000000" w14:paraId="00000091">
            <w:pPr>
              <w:widowControl w:val="0"/>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Desirable</w:t>
            </w:r>
          </w:p>
        </w:tc>
      </w:tr>
      <w:tr>
        <w:trPr>
          <w:cantSplit w:val="0"/>
          <w:trHeight w:val="40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92">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Skills &amp; Abilities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4">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Skill in guiding a child back down from high-arousal states using calm-down routines, deep breathing techniques, sensory tools, or structured safe-space transitions.</w:t>
            </w:r>
          </w:p>
        </w:tc>
        <w:tc>
          <w:tcPr>
            <w:shd w:fill="auto" w:val="clear"/>
            <w:tcMar>
              <w:top w:w="100.0" w:type="dxa"/>
              <w:left w:w="100.0" w:type="dxa"/>
              <w:bottom w:w="100.0" w:type="dxa"/>
              <w:right w:w="100.0" w:type="dxa"/>
            </w:tcMar>
          </w:tcPr>
          <w:p w:rsidR="00000000" w:rsidDel="00000000" w:rsidP="00000000" w:rsidRDefault="00000000" w:rsidRPr="00000000" w14:paraId="00000095">
            <w:pPr>
              <w:widowControl w:val="0"/>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Essential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6">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Ability to remain calm, patient, and emotionally steady under pressure, especially when faced with verbal aggression, physical dysregulation, or rapid mood shifts.</w:t>
            </w:r>
          </w:p>
        </w:tc>
        <w:tc>
          <w:tcPr>
            <w:shd w:fill="auto" w:val="clear"/>
            <w:tcMar>
              <w:top w:w="100.0" w:type="dxa"/>
              <w:left w:w="100.0" w:type="dxa"/>
              <w:bottom w:w="100.0" w:type="dxa"/>
              <w:right w:w="100.0" w:type="dxa"/>
            </w:tcMar>
          </w:tcPr>
          <w:p w:rsidR="00000000" w:rsidDel="00000000" w:rsidP="00000000" w:rsidRDefault="00000000" w:rsidRPr="00000000" w14:paraId="00000097">
            <w:pPr>
              <w:widowControl w:val="0"/>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Essential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8">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Ability to communicate clearly with provision teachers, SENCOs, and therapists, ensuring consistent strategies across all staff working with a pupil.</w:t>
            </w:r>
          </w:p>
        </w:tc>
        <w:tc>
          <w:tcPr>
            <w:shd w:fill="auto" w:val="clear"/>
            <w:tcMar>
              <w:top w:w="100.0" w:type="dxa"/>
              <w:left w:w="100.0" w:type="dxa"/>
              <w:bottom w:w="100.0" w:type="dxa"/>
              <w:right w:w="100.0" w:type="dxa"/>
            </w:tcMar>
          </w:tcPr>
          <w:p w:rsidR="00000000" w:rsidDel="00000000" w:rsidP="00000000" w:rsidRDefault="00000000" w:rsidRPr="00000000" w14:paraId="00000099">
            <w:pPr>
              <w:widowControl w:val="0"/>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Essential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A">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Ability to break down primary learning tasks into micro-steps, modify tasks when frustration builds, and adapt teaching methods to suit visual, kinetic, or sensory-seeking learners.</w:t>
            </w:r>
          </w:p>
        </w:tc>
        <w:tc>
          <w:tcPr>
            <w:shd w:fill="auto" w:val="clear"/>
            <w:tcMar>
              <w:top w:w="100.0" w:type="dxa"/>
              <w:left w:w="100.0" w:type="dxa"/>
              <w:bottom w:w="100.0" w:type="dxa"/>
              <w:right w:w="100.0" w:type="dxa"/>
            </w:tcMar>
          </w:tcPr>
          <w:p w:rsidR="00000000" w:rsidDel="00000000" w:rsidP="00000000" w:rsidRDefault="00000000" w:rsidRPr="00000000" w14:paraId="0000009B">
            <w:pPr>
              <w:widowControl w:val="0"/>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Desirable</w:t>
            </w:r>
          </w:p>
        </w:tc>
      </w:tr>
      <w:tr>
        <w:trPr>
          <w:cantSplit w:val="0"/>
          <w:trHeight w:val="40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9C">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Personal Attributes &amp; Working Conditions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E">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Strict adherence to child protection reporting, detailed daily log-keeping, incident recording, and safety procedures.</w:t>
            </w:r>
          </w:p>
        </w:tc>
        <w:tc>
          <w:tcPr>
            <w:shd w:fill="auto" w:val="clear"/>
            <w:tcMar>
              <w:top w:w="100.0" w:type="dxa"/>
              <w:left w:w="100.0" w:type="dxa"/>
              <w:bottom w:w="100.0" w:type="dxa"/>
              <w:right w:w="100.0" w:type="dxa"/>
            </w:tcMar>
          </w:tcPr>
          <w:p w:rsidR="00000000" w:rsidDel="00000000" w:rsidP="00000000" w:rsidRDefault="00000000" w:rsidRPr="00000000" w14:paraId="0000009F">
            <w:pPr>
              <w:widowControl w:val="0"/>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Essential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0">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The personal stability to process verbal aggression, intense emotions, or non-compliant behaviours without taking them personally or carrying stress home.</w:t>
            </w:r>
          </w:p>
        </w:tc>
        <w:tc>
          <w:tcPr>
            <w:shd w:fill="auto" w:val="clear"/>
            <w:tcMar>
              <w:top w:w="100.0" w:type="dxa"/>
              <w:left w:w="100.0" w:type="dxa"/>
              <w:bottom w:w="100.0" w:type="dxa"/>
              <w:right w:w="100.0" w:type="dxa"/>
            </w:tcMar>
          </w:tcPr>
          <w:p w:rsidR="00000000" w:rsidDel="00000000" w:rsidP="00000000" w:rsidRDefault="00000000" w:rsidRPr="00000000" w14:paraId="000000A1">
            <w:pPr>
              <w:widowControl w:val="0"/>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Essential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2">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Application of approved physical intervention/de-escalation techniques (e.g., Team-Teach) when safety requires it.</w:t>
            </w:r>
          </w:p>
        </w:tc>
        <w:tc>
          <w:tcPr>
            <w:shd w:fill="auto" w:val="clear"/>
            <w:tcMar>
              <w:top w:w="100.0" w:type="dxa"/>
              <w:left w:w="100.0" w:type="dxa"/>
              <w:bottom w:w="100.0" w:type="dxa"/>
              <w:right w:w="100.0" w:type="dxa"/>
            </w:tcMar>
          </w:tcPr>
          <w:p w:rsidR="00000000" w:rsidDel="00000000" w:rsidP="00000000" w:rsidRDefault="00000000" w:rsidRPr="00000000" w14:paraId="000000A3">
            <w:pPr>
              <w:widowControl w:val="0"/>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Desirable</w:t>
            </w:r>
          </w:p>
        </w:tc>
      </w:tr>
    </w:tbl>
    <w:p w:rsidR="00000000" w:rsidDel="00000000" w:rsidP="00000000" w:rsidRDefault="00000000" w:rsidRPr="00000000" w14:paraId="000000A4">
      <w:pPr>
        <w:rPr>
          <w:rFonts w:ascii="Arial" w:cs="Arial" w:eastAsia="Arial" w:hAnsi="Arial"/>
          <w:sz w:val="20"/>
          <w:szCs w:val="20"/>
        </w:rPr>
      </w:pPr>
      <w:r w:rsidDel="00000000" w:rsidR="00000000" w:rsidRPr="00000000">
        <w:rPr>
          <w:rtl w:val="0"/>
        </w:rPr>
      </w:r>
    </w:p>
    <w:sectPr>
      <w:headerReference r:id="rId7"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pBdr>
        <w:top w:space="0" w:sz="0" w:val="nil"/>
        <w:left w:space="0" w:sz="0" w:val="nil"/>
        <w:bottom w:space="0" w:sz="0" w:val="nil"/>
        <w:right w:space="0" w:sz="0" w:val="nil"/>
        <w:between w:space="0" w:sz="0" w:val="nil"/>
      </w:pBdr>
      <w:spacing w:line="240"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Pr>
      <mc:AlternateContent>
        <mc:Choice Requires="wpg">
          <w:drawing>
            <wp:anchor allowOverlap="1" behindDoc="0" distB="0" distT="0" distL="114300" distR="114300" hidden="0" layoutInCell="1" locked="0" relativeHeight="0" simplePos="0">
              <wp:simplePos x="0" y="0"/>
              <wp:positionH relativeFrom="page">
                <wp:posOffset>0</wp:posOffset>
              </wp:positionH>
              <wp:positionV relativeFrom="page">
                <wp:posOffset>245745</wp:posOffset>
              </wp:positionV>
              <wp:extent cx="1125710" cy="668655"/>
              <wp:effectExtent b="0" l="0" r="0" t="0"/>
              <wp:wrapNone/>
              <wp:docPr id="161" name=""/>
              <a:graphic>
                <a:graphicData uri="http://schemas.microsoft.com/office/word/2010/wordprocessingGroup">
                  <wpg:wgp>
                    <wpg:cNvGrpSpPr/>
                    <wpg:grpSpPr>
                      <a:xfrm>
                        <a:off x="4783125" y="3445650"/>
                        <a:ext cx="1125710" cy="668655"/>
                        <a:chOff x="4783125" y="3445650"/>
                        <a:chExt cx="1125750" cy="668700"/>
                      </a:xfrm>
                    </wpg:grpSpPr>
                    <wpg:grpSp>
                      <wpg:cNvGrpSpPr/>
                      <wpg:grpSpPr>
                        <a:xfrm>
                          <a:off x="4783145" y="3445673"/>
                          <a:ext cx="1125710" cy="668655"/>
                          <a:chOff x="4495600" y="3267925"/>
                          <a:chExt cx="1700800" cy="1024150"/>
                        </a:xfrm>
                      </wpg:grpSpPr>
                      <wps:wsp>
                        <wps:cNvSpPr/>
                        <wps:cNvPr id="3" name="Shape 3"/>
                        <wps:spPr>
                          <a:xfrm>
                            <a:off x="4495600" y="3267925"/>
                            <a:ext cx="1700800" cy="1024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495608" y="3267936"/>
                            <a:ext cx="1700784" cy="1024128"/>
                            <a:chOff x="0" y="0"/>
                            <a:chExt cx="1700784" cy="1024128"/>
                          </a:xfrm>
                        </wpg:grpSpPr>
                        <wps:wsp>
                          <wps:cNvSpPr/>
                          <wps:cNvPr id="5" name="Shape 5"/>
                          <wps:spPr>
                            <a:xfrm>
                              <a:off x="0" y="0"/>
                              <a:ext cx="1700775" cy="1024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1700784" cy="1024128"/>
                              <a:chOff x="0" y="0"/>
                              <a:chExt cx="1700784" cy="1024128"/>
                            </a:xfrm>
                          </wpg:grpSpPr>
                          <wps:wsp>
                            <wps:cNvSpPr/>
                            <wps:cNvPr id="7" name="Shape 7"/>
                            <wps:spPr>
                              <a:xfrm>
                                <a:off x="0" y="0"/>
                                <a:ext cx="1700784" cy="1024128"/>
                              </a:xfrm>
                              <a:prstGeom prst="rect">
                                <a:avLst/>
                              </a:prstGeom>
                              <a:solidFill>
                                <a:schemeClr val="lt1">
                                  <a:alpha val="0"/>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228600" y="0"/>
                                <a:ext cx="1463040" cy="1014984"/>
                              </a:xfrm>
                              <a:custGeom>
                                <a:rect b="b" l="l" r="r" t="t"/>
                                <a:pathLst>
                                  <a:path extrusionOk="0" h="1014481" w="1462822">
                                    <a:moveTo>
                                      <a:pt x="0" y="0"/>
                                    </a:moveTo>
                                    <a:lnTo>
                                      <a:pt x="1462822" y="0"/>
                                    </a:lnTo>
                                    <a:lnTo>
                                      <a:pt x="910372" y="376306"/>
                                    </a:lnTo>
                                    <a:lnTo>
                                      <a:pt x="0" y="1014481"/>
                                    </a:lnTo>
                                    <a:lnTo>
                                      <a:pt x="0" y="0"/>
                                    </a:lnTo>
                                    <a:close/>
                                  </a:path>
                                </a:pathLst>
                              </a:custGeom>
                              <a:solidFill>
                                <a:schemeClr val="accent1"/>
                              </a:solidFill>
                              <a:ln>
                                <a:noFill/>
                              </a:ln>
                            </wps:spPr>
                            <wps:bodyPr anchorCtr="0" anchor="ctr" bIns="91425" lIns="91425" spcFirstLastPara="1" rIns="91425" wrap="square" tIns="91425">
                              <a:noAutofit/>
                            </wps:bodyPr>
                          </wps:wsp>
                          <wps:wsp>
                            <wps:cNvSpPr/>
                            <wps:cNvPr id="9" name="Shape 9"/>
                            <wps:spPr>
                              <a:xfrm>
                                <a:off x="228600" y="0"/>
                                <a:ext cx="1472184" cy="1024128"/>
                              </a:xfrm>
                              <a:prstGeom prst="rect">
                                <a:avLst/>
                              </a:prstGeom>
                              <a:blipFill rotWithShape="1">
                                <a:blip r:embed="rId1">
                                  <a:alphaModFix/>
                                </a:blip>
                                <a:stretch>
                                  <a:fillRect b="0" l="0" r="0" t="0"/>
                                </a:stretch>
                              </a:blip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s:wsp>
                          <wps:cNvSpPr/>
                          <wps:cNvPr id="10" name="Shape 10"/>
                          <wps:spPr>
                            <a:xfrm flipH="1">
                              <a:off x="237067" y="18942"/>
                              <a:ext cx="442824" cy="375285"/>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p>
                            </w:txbxContent>
                          </wps:txbx>
                          <wps:bodyPr anchorCtr="0" anchor="ctr" bIns="91425" lIns="91425" spcFirstLastPara="1" rIns="91425" wrap="square" tIns="91425">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page">
                <wp:posOffset>0</wp:posOffset>
              </wp:positionH>
              <wp:positionV relativeFrom="page">
                <wp:posOffset>245745</wp:posOffset>
              </wp:positionV>
              <wp:extent cx="1125710" cy="668655"/>
              <wp:effectExtent b="0" l="0" r="0" t="0"/>
              <wp:wrapNone/>
              <wp:docPr id="16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1125710" cy="668655"/>
                      </a:xfrm>
                      <a:prstGeom prst="rect"/>
                      <a:ln/>
                    </pic:spPr>
                  </pic:pic>
                </a:graphicData>
              </a:graphic>
            </wp:anchor>
          </w:drawing>
        </mc:Fallback>
      </mc:AlternateConten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5198794</wp:posOffset>
          </wp:positionH>
          <wp:positionV relativeFrom="paragraph">
            <wp:posOffset>-321111</wp:posOffset>
          </wp:positionV>
          <wp:extent cx="1195754" cy="937686"/>
          <wp:effectExtent b="0" l="0" r="0" t="0"/>
          <wp:wrapNone/>
          <wp:docPr id="162" name="image1.png"/>
          <a:graphic>
            <a:graphicData uri="http://schemas.openxmlformats.org/drawingml/2006/picture">
              <pic:pic>
                <pic:nvPicPr>
                  <pic:cNvPr id="0" name="image1.png"/>
                  <pic:cNvPicPr preferRelativeResize="0"/>
                </pic:nvPicPr>
                <pic:blipFill>
                  <a:blip r:embed="rId3"/>
                  <a:srcRect b="0" l="0" r="0" t="0"/>
                  <a:stretch>
                    <a:fillRect/>
                  </a:stretch>
                </pic:blipFill>
                <pic:spPr>
                  <a:xfrm>
                    <a:off x="0" y="0"/>
                    <a:ext cx="1195754" cy="93768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4">
    <w:lvl w:ilvl="0">
      <w:start w:val="3"/>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5">
    <w:lvl w:ilvl="0">
      <w:start w:val="4"/>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Header">
    <w:name w:val="header"/>
    <w:basedOn w:val="Normal"/>
    <w:link w:val="HeaderChar"/>
    <w:uiPriority w:val="99"/>
    <w:unhideWhenUsed w:val="1"/>
    <w:rsid w:val="00EF70CC"/>
    <w:pPr>
      <w:tabs>
        <w:tab w:val="center" w:pos="4513"/>
        <w:tab w:val="right" w:pos="9026"/>
      </w:tabs>
      <w:spacing w:after="0" w:line="240" w:lineRule="auto"/>
    </w:pPr>
  </w:style>
  <w:style w:type="character" w:styleId="HeaderChar" w:customStyle="1">
    <w:name w:val="Header Char"/>
    <w:basedOn w:val="DefaultParagraphFont"/>
    <w:link w:val="Header"/>
    <w:uiPriority w:val="99"/>
    <w:rsid w:val="00EF70CC"/>
  </w:style>
  <w:style w:type="paragraph" w:styleId="Footer">
    <w:name w:val="footer"/>
    <w:basedOn w:val="Normal"/>
    <w:link w:val="FooterChar"/>
    <w:uiPriority w:val="99"/>
    <w:unhideWhenUsed w:val="1"/>
    <w:rsid w:val="00EF70CC"/>
    <w:pPr>
      <w:tabs>
        <w:tab w:val="center" w:pos="4513"/>
        <w:tab w:val="right" w:pos="9026"/>
      </w:tabs>
      <w:spacing w:after="0" w:line="240" w:lineRule="auto"/>
    </w:pPr>
  </w:style>
  <w:style w:type="character" w:styleId="FooterChar" w:customStyle="1">
    <w:name w:val="Footer Char"/>
    <w:basedOn w:val="DefaultParagraphFont"/>
    <w:link w:val="Footer"/>
    <w:uiPriority w:val="99"/>
    <w:rsid w:val="00EF70CC"/>
  </w:style>
  <w:style w:type="paragraph" w:styleId="NormalWeb">
    <w:name w:val="Normal (Web)"/>
    <w:basedOn w:val="Normal"/>
    <w:uiPriority w:val="99"/>
    <w:unhideWhenUsed w:val="1"/>
    <w:rsid w:val="00EF70CC"/>
    <w:pPr>
      <w:spacing w:after="100" w:afterAutospacing="1" w:before="100" w:beforeAutospacing="1" w:line="240" w:lineRule="auto"/>
    </w:pPr>
    <w:rPr>
      <w:rFonts w:ascii="Times New Roman" w:cs="Times New Roman" w:eastAsia="Times New Roman" w:hAnsi="Times New Roman"/>
      <w:sz w:val="24"/>
      <w:szCs w:val="24"/>
      <w:lang w:eastAsia="en-GB"/>
    </w:rPr>
  </w:style>
  <w:style w:type="table" w:styleId="a" w:customStyle="1">
    <w:basedOn w:val="TableNormal"/>
    <w:tblPr>
      <w:tblStyleRowBandSize w:val="1"/>
      <w:tblStyleColBandSize w:val="1"/>
      <w:tblCellMar>
        <w:top w:w="15.0" w:type="dxa"/>
        <w:left w:w="15.0" w:type="dxa"/>
        <w:bottom w:w="15.0" w:type="dxa"/>
        <w:right w:w="15.0" w:type="dxa"/>
      </w:tblCellMar>
    </w:tblPr>
  </w:style>
  <w:style w:type="table" w:styleId="a0" w:customStyle="1">
    <w:basedOn w:val="TableNormal"/>
    <w:tblPr>
      <w:tblStyleRowBandSize w:val="1"/>
      <w:tblStyleColBandSize w:val="1"/>
    </w:tblPr>
  </w:style>
  <w:style w:type="paragraph" w:styleId="ListParagraph">
    <w:name w:val="List Paragraph"/>
    <w:basedOn w:val="Normal"/>
    <w:uiPriority w:val="34"/>
    <w:qFormat w:val="1"/>
    <w:rsid w:val="001763E8"/>
    <w:pPr>
      <w:ind w:left="720"/>
      <w:contextualSpacing w:val="1"/>
    </w:pPr>
  </w:style>
  <w:style w:type="paragraph" w:styleId="TableofFigures">
    <w:name w:val="table of figures"/>
    <w:basedOn w:val="Normal"/>
    <w:next w:val="Normal"/>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2.png"/><Relationship Id="rId3"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BzQe8Fyn/jTvc0/WCydhGVc1Eg==">CgMxLjAyDmguYW1mZ3VpdWtxN2dmMg5oLmJncGI2MGk0YnN4ajIOaC52ZmxncHc2NDlkc3YyDmgubmI1OHhmcHIwZGV5Mg5oLnN4bzZzbjY4MndvMDIOaC42ZXUwd2twb3pkODIyDmgubm40a2Nwc3JyZHZoMg5oLmE5aXlwa3ZoMHh5aDIOaC5kc2hyejRiMzJrcHcyDWgudGF3cTltNzU3Z3EyDmgubjl3ZHplczFqOHVzMg5oLmQ0Y3cyeTUzM2NsZzgAciExOXR1Z1A1S1J3bjlBZ1ROMlVUTjU3SnlDRHliVjFUd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2026-11-03T13:23:00Z</dcterms:created>
  <dc:creator>Rachel Hall</dc:creator>
</cp:coreProperties>
</file>