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Teacher P</w:t>
      </w:r>
      <w:r>
        <w:rPr>
          <w:b/>
          <w:sz w:val="36"/>
          <w:szCs w:val="36"/>
        </w:rPr>
        <w:t>erson Specification</w:t>
      </w:r>
    </w:p>
    <w:p>
      <w:pPr>
        <w:spacing w:after="0"/>
        <w:rPr>
          <w:b/>
          <w:sz w:val="36"/>
          <w:szCs w:val="36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4096"/>
        <w:gridCol w:w="2835"/>
        <w:gridCol w:w="1559"/>
      </w:tblGrid>
      <w:t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Essential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Desirable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How identified 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Education and training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 good honours degree in a relevant subject. 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Qualified Teacher Status.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Application  </w:t>
            </w:r>
          </w:p>
        </w:tc>
      </w:tr>
      <w:tr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Experience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Experience of teaching </w:t>
            </w:r>
            <w:r>
              <w:rPr>
                <w:rFonts w:ascii="Calibri" w:eastAsia="Times New Roman" w:hAnsi="Calibri" w:cs="Calibri"/>
                <w:lang w:eastAsia="en-GB"/>
              </w:rPr>
              <w:t>across the age and abilit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y range in Key Stages 3 and 4 in a comprehensive school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 track record of excellent outcomes.  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Relevant contribution to improvements in teaching.  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Experience and success in the role of form tutor.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working in a multi-racial setting</w:t>
            </w:r>
          </w:p>
          <w:p>
            <w:pPr>
              <w:pStyle w:val="ListParagraph"/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ascii="Calibri" w:hAnsi="Calibri" w:cs="Calibri"/>
              </w:rPr>
            </w:pP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Application 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Interview  </w:t>
            </w:r>
          </w:p>
        </w:tc>
      </w:tr>
      <w:tr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Knowledge and skills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Up-to-date knowledge and understanding of a range of teaching, learning and behaviour management strategies. 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Up-to-date knowledge and understanding of the subject. 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Familiarity with current curriculum developments and exam specifications.  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Awareness of the current legal requirements for safeguarding and the promotion of the wellbeing of children and young people.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Application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Interview  </w:t>
            </w:r>
          </w:p>
        </w:tc>
      </w:tr>
      <w:tr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Personal qualities and professional values 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 firm commitment to the vision and values of the academy. 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Initiative, energy, optimism and enthusiasm - and the ability to foster these qualities in others. 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Highly effective communication skills.  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Excellent organisational skills, with the ability to prioritise. 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 commitment to fostering student ambition and aspiration through enrichment, student leadership, alumni, personal development, 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oracy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> and other whole school initiatives.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Application </w:t>
            </w:r>
          </w:p>
          <w:p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Interview </w:t>
            </w:r>
          </w:p>
        </w:tc>
      </w:tr>
    </w:tbl>
    <w:p/>
    <w:sectPr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5237480</wp:posOffset>
          </wp:positionH>
          <wp:positionV relativeFrom="paragraph">
            <wp:posOffset>-311785</wp:posOffset>
          </wp:positionV>
          <wp:extent cx="955675" cy="802005"/>
          <wp:effectExtent l="19050" t="0" r="0" b="0"/>
          <wp:wrapTight wrapText="bothSides">
            <wp:wrapPolygon edited="0">
              <wp:start x="-431" y="0"/>
              <wp:lineTo x="-431" y="21036"/>
              <wp:lineTo x="21528" y="21036"/>
              <wp:lineTo x="21528" y="0"/>
              <wp:lineTo x="-431" y="0"/>
            </wp:wrapPolygon>
          </wp:wrapTight>
          <wp:docPr id="10" name="Picture 1" descr="C:\Users\kni\AppData\Local\Microsoft\Windows\Temporary Internet Files\Content.Outlook\OGZKQ8JV\BVG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i\AppData\Local\Microsoft\Windows\Temporary Internet Files\Content.Outlook\OGZKQ8JV\BVGA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-208280</wp:posOffset>
          </wp:positionV>
          <wp:extent cx="1033145" cy="586105"/>
          <wp:effectExtent l="19050" t="0" r="0" b="0"/>
          <wp:wrapTight wrapText="bothSides">
            <wp:wrapPolygon edited="0">
              <wp:start x="-398" y="0"/>
              <wp:lineTo x="-398" y="21062"/>
              <wp:lineTo x="20312" y="21062"/>
              <wp:lineTo x="21507" y="16147"/>
              <wp:lineTo x="21507" y="14041"/>
              <wp:lineTo x="18321" y="10531"/>
              <wp:lineTo x="18321" y="4212"/>
              <wp:lineTo x="17126" y="0"/>
              <wp:lineTo x="-398" y="0"/>
            </wp:wrapPolygon>
          </wp:wrapTight>
          <wp:docPr id="11" name="Picture 3" descr="http://www.bdat-academies.org/wp-content/themes/bdat-child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dat-academies.org/wp-content/themes/bdat-child/images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7963"/>
    <w:multiLevelType w:val="multilevel"/>
    <w:tmpl w:val="447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5E3F5A"/>
    <w:multiLevelType w:val="multilevel"/>
    <w:tmpl w:val="1DA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592409"/>
    <w:multiLevelType w:val="multilevel"/>
    <w:tmpl w:val="279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3403D"/>
    <w:multiLevelType w:val="multilevel"/>
    <w:tmpl w:val="65A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B42D94"/>
    <w:multiLevelType w:val="multilevel"/>
    <w:tmpl w:val="8AF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884ADF"/>
    <w:multiLevelType w:val="multilevel"/>
    <w:tmpl w:val="439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2362DE"/>
    <w:multiLevelType w:val="multilevel"/>
    <w:tmpl w:val="6360B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DF24-97F7-413B-8A3C-71EEEE3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 Vue Girls' Academy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Nixon</dc:creator>
  <cp:keywords/>
  <dc:description/>
  <cp:lastModifiedBy>Karen Nixon</cp:lastModifiedBy>
  <cp:revision>2</cp:revision>
  <cp:lastPrinted>2021-03-23T15:08:00Z</cp:lastPrinted>
  <dcterms:created xsi:type="dcterms:W3CDTF">2021-03-23T14:42:00Z</dcterms:created>
  <dcterms:modified xsi:type="dcterms:W3CDTF">2021-03-23T15:10:00Z</dcterms:modified>
</cp:coreProperties>
</file>